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f530" w14:textId="d5bf530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организации и проведения внутренней и внешней экспертиз качества медицинских услуг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27 марта 2015 года № 173. Зарегистрирован в Министерстве юстиции Республики Казахстан 29 апреля 2015 года № 10880.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c </w:t>
      </w:r>
      <w:r>
        <w:rPr>
          <w:rFonts w:ascii="Consolas"/>
          <w:b w:val="false"/>
          <w:i w:val="false"/>
          <w:color w:val="000000"/>
          <w:sz w:val="20"/>
        </w:rPr>
        <w:t>пунктом 5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58 Кодекса Республики Казахстан от 18 сентября 2009 года "О здоровье народа и системе здравоохранения" 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прилагаемые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и проведения внутренней и внешней экспертиз качества медицинских услуг.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Согласовано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Министр национальной экономики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_________________ Е. Досаев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"_____" ____________ 2015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марта 2015 года № 173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организации и проведения</w:t>
      </w:r>
      <w:r>
        <w:br/>
      </w:r>
      <w:r>
        <w:rPr>
          <w:rFonts w:ascii="Consolas"/>
          <w:b/>
          <w:i w:val="false"/>
          <w:color w:val="000000"/>
        </w:rPr>
        <w:t>внутренней и внешней экспертиз качества медицинских услуг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Правила в редакции приказа Министра здравоохранения и социального развития РК от 28.06.2016 </w:t>
      </w:r>
      <w:r>
        <w:rPr>
          <w:rFonts w:ascii="Consolas"/>
          <w:b w:val="false"/>
          <w:i w:val="false"/>
          <w:color w:val="ff0000"/>
          <w:sz w:val="20"/>
        </w:rPr>
        <w:t>№ 568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1. Общие положения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Правила организации и проведения внутренней и внешней экспертиз качества медицинских услуг (далее – Правила) разработаны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58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"О здоровье народа и системе здравоохранения" (далее – Кодекс)" и определяют порядок организации и проведения внутренней и внешней экспертиз качества медицинских услуг, оказываемых субъектами здравоохранения независимо от форм собственности и ведомственной принадлежности.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внутрибольничные комиссии – комиссии, создаваемые в организациях здравоохранения (комиссии инфекционного контроля, комиссии по разбору запущенных и летальных случаев);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текущий анализ – анализ на основе изучения медицинской документации пациентов, получающих медицинские услуги на момент проведения экспертизы;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здравоохранения (далее – Стандарт) –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клинический аудит – подробный ретроспективный и (или) текущий анализ проведенных лечебно-диагностических мероприятий на предмет их соответствия </w:t>
      </w:r>
      <w:r>
        <w:rPr>
          <w:rFonts w:ascii="Consolas"/>
          <w:b w:val="false"/>
          <w:i w:val="false"/>
          <w:color w:val="000000"/>
          <w:sz w:val="20"/>
        </w:rPr>
        <w:t>стандартам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здравоохранения и клиническим протоколам;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</w:t>
      </w:r>
      <w:r>
        <w:rPr>
          <w:rFonts w:ascii="Consolas"/>
          <w:b w:val="false"/>
          <w:i w:val="false"/>
          <w:color w:val="000000"/>
          <w:sz w:val="20"/>
        </w:rPr>
        <w:t>Комитет</w:t>
      </w:r>
      <w:r>
        <w:rPr>
          <w:rFonts w:ascii="Consolas"/>
          <w:b w:val="false"/>
          <w:i w:val="false"/>
          <w:color w:val="000000"/>
          <w:sz w:val="20"/>
        </w:rPr>
        <w:t xml:space="preserve"> контроля медицинской и фармацевтической деятельности Министерства здравоохранения и социального развития Республики Казахстан (далее – ККМФД) – ведомство уполномоченного органа в области здравоохранения осуществляющее регулятивные, реализационные и контрольные функции в сфере оказания медицинских услуг и обращения лекарственных средств, изделий медицинского назначения и медицинской техники;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дефект оказания медицинских услуг (далее – дефект) – нарушение порядка оказания медицинской помощи, лечебно-диагностических мероприятий, выражающееся в невыполнении стандартов в области здравоохранения и несоблюдении клинических протоколов;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медицинские услуги –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индикаторы оценки качества медицинских услуг (далее – индикаторы оценки) – показатели эффективности, полноты и соответствия медицинских услуг стандартам в области здравоохранения, включающие: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индикаторы структуры – показатели обеспеченности кадровыми, финансовыми и техническими ресурсами;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индикаторы процесса – показатели оценки выполнения технологий профилактики, диагностики, лечения и реабилитации;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индикаторы результата – показатели оценки последствий для здоровья в результате оказания или неоказания медицинских услуг субъектами здравоохранения;</w:t>
      </w:r>
    </w:p>
    <w:bookmarkStart w:name="z2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управление качеством медицинской помощи – систематический, независимый и документированный процесс непрерывных, взаимосвязанных действий, включающих планирование, организацию, мотивацию, внутренний аудит деятельности организации здравоохранения, а также другие мероприятия, обеспечивающие улучшение качества медицинской помощи и безопасность для пациентов и направленные на предупреждение и устранение недостатков деятельности;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13) экспертиза качества медицинских услуг (далее – экспертиза) – совокупность организационных, аналитических и практических мероприятий, осуществляемых для вынесения заключения об уровне качества медицинских услуг, предоставляемых физическими и юридическими лицами, с использованием индикаторов оценки, отражающих показатель эффективности, полноты и соответствия медицинских услуг стандартам в области здравоохранения;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14) мониторинг – процесс систематического сбора информации о деятельности структурных подразделений организации здравоохранения в ходе реализации достижения результатов для оказания поддержки в управлении для непрерывного процесса принятия своевременных и адекватных решений;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15) служба поддержки пациента и внутреннего контроля (аудита) (далее – Служба) – структурное подразделение организации здравоохранения, осуществляющее деятельность по управлению качеством оказания медицинских услуг;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18) </w:t>
      </w:r>
      <w:r>
        <w:rPr>
          <w:rFonts w:ascii="Consolas"/>
          <w:b w:val="false"/>
          <w:i w:val="false"/>
          <w:color w:val="000000"/>
          <w:sz w:val="20"/>
        </w:rPr>
        <w:t>независимый эксперт</w:t>
      </w:r>
      <w:r>
        <w:rPr>
          <w:rFonts w:ascii="Consolas"/>
          <w:b w:val="false"/>
          <w:i w:val="false"/>
          <w:color w:val="000000"/>
          <w:sz w:val="20"/>
        </w:rPr>
        <w:t xml:space="preserve"> – физическое лицо, аккредитованное в 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 для проведения независимой экспертизы деятельности субъектов здравоохранения;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Стандартам;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Экспертиза качества медицинских услуг подразделяется на внутреннюю и внешнюю.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Основными этапами экспертизы качества медицинских услуг являются: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анализ </w:t>
      </w:r>
      <w:r>
        <w:rPr>
          <w:rFonts w:ascii="Consolas"/>
          <w:b w:val="false"/>
          <w:i w:val="false"/>
          <w:color w:val="000000"/>
          <w:sz w:val="20"/>
        </w:rPr>
        <w:t>учетной</w:t>
      </w:r>
      <w:r>
        <w:rPr>
          <w:rFonts w:ascii="Consolas"/>
          <w:b w:val="false"/>
          <w:i w:val="false"/>
          <w:color w:val="000000"/>
          <w:sz w:val="20"/>
        </w:rPr>
        <w:t xml:space="preserve"> и отчетной документации организации здравоохранения для сравнения показателей деятельности за определенный период работы с показателями за предыдущий аналогичный период работы, а также с республиканскими и областными показателями состояния здоровья населения;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проведение клинического аудита путем подробного ретроспективного и (или) текущего анализа проведенных лечебно-диагностических мероприятий на предмет их соответствия Стандартам;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обобщение результатов экспертизы.</w:t>
      </w:r>
    </w:p>
    <w:bookmarkStart w:name="z3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При проведении клинического аудита оцениваются: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качество сбора анамнеза, которое оценивается по следующим критериям: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а) отсутствие сбора анамнеза;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б) полнота сбора анамнеза;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в)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г) наличие данных о деталях, имеющих значение в трактовке конкретного случая;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д)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полнота и обоснованность проведения диагностических исследований, которые оцениваются по следующим критериям: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а) отсутствие диагностических мероприятий;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б)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в) проведение диагностических исследований, предусмотренных клиническими протоколами;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г)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протоколы;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д)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а) диагноз отсутствует, неполный или неправильный, не соответствует международной статистической классификации болезней;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б)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в)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г) диагноз основного заболевания правильный, но не диагностированы сопутствующие заболевания, влияющие на результат лечения.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а) отсутствие консультации, приведшее к ошибочной трактовке симптомов и синдромов, отрицательно повлиявших на исход заболевания;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б)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в)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г) мнение консультанта ошибочное и повлияло на исход заболевания.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объем, качество и обоснованность проведения лечебных мероприятий, которые оцениваются по следующим критериям: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а) отсутствие лечения при наличии показаний;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б) назначение лечения при отсутствии показаний;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в)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г)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д) преждевременное прекращение лечения при недооценке клинического эффекта и (или) утяжелении течения заболевания, кроме документально оформленных случаев отказа пациента от лечения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93 Кодекса;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е) несоблюдение требований Стандартов, отклонение от клинических протоколов, наличие полипрагмазии без учета тяжелого побочного действия лекарств и развития нового патологического синдрома;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ж) несоблюдение требований </w:t>
      </w:r>
      <w:r>
        <w:rPr>
          <w:rFonts w:ascii="Consolas"/>
          <w:b w:val="false"/>
          <w:i w:val="false"/>
          <w:color w:val="000000"/>
          <w:sz w:val="20"/>
        </w:rPr>
        <w:t>Стандартов</w:t>
      </w:r>
      <w:r>
        <w:rPr>
          <w:rFonts w:ascii="Consolas"/>
          <w:b w:val="false"/>
          <w:i w:val="false"/>
          <w:color w:val="000000"/>
          <w:sz w:val="20"/>
        </w:rPr>
        <w:t>,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отсутствие или развитие осложнений после медицинских вмешательств, по которой оценке качества медицинских услуг подлежат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достигнутый результат, который оценивается по следующим критериям: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а) достижение ожидаемого клинического эффекта при соблюдении технологии оказания медицинских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б)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в)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г) наличие полипрагмазии, обусловившее развитие нежелательных последствий;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 в соответствии с формами, утвержденными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 (далее – Приказ № 907).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уровне амбулаторно-поликлинической помощи дополнительно оцениваются диспансерные, профилактические, реабилитационные мероприятия и скрининговые исследования.</w:t>
      </w:r>
    </w:p>
    <w:bookmarkStart w:name="z3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По завершению экспертизы результаты обобщаются и делаются выводы: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 соответствии (несоответствии) оказанной медицинской помощи требованиям </w:t>
      </w:r>
      <w:r>
        <w:rPr>
          <w:rFonts w:ascii="Consolas"/>
          <w:b w:val="false"/>
          <w:i w:val="false"/>
          <w:color w:val="000000"/>
          <w:sz w:val="20"/>
        </w:rPr>
        <w:t>Стандартов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о предоставлении пациенту бесплатной медицинской помощи </w:t>
      </w:r>
      <w:r>
        <w:rPr>
          <w:rFonts w:ascii="Consolas"/>
          <w:b w:val="false"/>
          <w:i w:val="false"/>
          <w:color w:val="000000"/>
          <w:sz w:val="20"/>
        </w:rPr>
        <w:t>в объеме</w:t>
      </w:r>
      <w:r>
        <w:rPr>
          <w:rFonts w:ascii="Consolas"/>
          <w:b w:val="false"/>
          <w:i w:val="false"/>
          <w:color w:val="000000"/>
          <w:sz w:val="20"/>
        </w:rPr>
        <w:t>, гарантированном государством.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Экспертиза качества медицинских услуг осуществляется путем проведения: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текущего анализа, при необходимости с участием пациента;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ретроспективного анализа;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Start w:name="z36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организации и проведения внутренней</w:t>
      </w:r>
      <w:r>
        <w:br/>
      </w:r>
      <w:r>
        <w:rPr>
          <w:rFonts w:ascii="Consolas"/>
          <w:b/>
          <w:i w:val="false"/>
          <w:color w:val="000000"/>
        </w:rPr>
        <w:t>экспертизы качества медицинских услуг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Для организации и проведения внутренней экспертизы в медицинской организации создается служба поддержки пациента и внутреннего контроля (аудита).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Структура и состав Службы утверждаются руководителем организации здравоохранения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(обслуживаемого) населения для организаций, оказывающих амбулаторно-поликлиническую помощь.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Служба определяет степень удовлетворенности пациентов уровнем и качеством медицинских услуг путем анкетирования пациентов и (или) их родственников и анализа обоснованных обращений на качество оказанных медицинских услуг.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Cлужба рассматривает обращения по вопросам медицинской помощи, оказанной организацией здравоохранения с созданием комиссии из числа опытных специалистов.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13. Оценка деятельности организации здравоохранения в целом и по каждому структурному подразделению организации осуществляется Службой на основании оценки внутренних индикаторов,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Руководители структурных подразделений медицинской организации представляют Службе ежемесячно по утвержденному руководителем графику результаты мониторинга по индикаторам оценки качества медицинских услуг.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Внутренняя экспертиза проводится ретроспективно и непосредственно в момент получения пациентами медицинской помощи.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Службой поддержки пациента проводится экспертиза: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в организациях, оказывающих </w:t>
      </w:r>
      <w:r>
        <w:rPr>
          <w:rFonts w:ascii="Consolas"/>
          <w:b w:val="false"/>
          <w:i w:val="false"/>
          <w:color w:val="000000"/>
          <w:sz w:val="20"/>
        </w:rPr>
        <w:t>стационарную</w:t>
      </w:r>
      <w:r>
        <w:rPr>
          <w:rFonts w:ascii="Consolas"/>
          <w:b w:val="false"/>
          <w:i w:val="false"/>
          <w:color w:val="000000"/>
          <w:sz w:val="20"/>
        </w:rPr>
        <w:t xml:space="preserve"> или </w:t>
      </w:r>
      <w:r>
        <w:rPr>
          <w:rFonts w:ascii="Consolas"/>
          <w:b w:val="false"/>
          <w:i w:val="false"/>
          <w:color w:val="000000"/>
          <w:sz w:val="20"/>
        </w:rPr>
        <w:t>стационарозамещающую</w:t>
      </w:r>
      <w:r>
        <w:rPr>
          <w:rFonts w:ascii="Consolas"/>
          <w:b w:val="false"/>
          <w:i w:val="false"/>
          <w:color w:val="000000"/>
          <w:sz w:val="20"/>
        </w:rPr>
        <w:t xml:space="preserve"> помощь, не менее 15 % пролеченных случаев в месяц, а также все случаи: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летальных исходов;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осложнений, в том числе послеоперационных;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внутрибольничных инфекций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удлинения или укорочения сроков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расхождений диагнозов;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необоснованной госпитализации;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в </w:t>
      </w:r>
      <w:r>
        <w:rPr>
          <w:rFonts w:ascii="Consolas"/>
          <w:b w:val="false"/>
          <w:i w:val="false"/>
          <w:color w:val="000000"/>
          <w:sz w:val="20"/>
        </w:rPr>
        <w:t>организациях</w:t>
      </w:r>
      <w:r>
        <w:rPr>
          <w:rFonts w:ascii="Consolas"/>
          <w:b w:val="false"/>
          <w:i w:val="false"/>
          <w:color w:val="000000"/>
          <w:sz w:val="20"/>
        </w:rPr>
        <w:t>, оказывающих амбулаторно-поликлиническую помощь: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менее 10 % экспертиз за месяц: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пролеченных случаев, </w:t>
      </w:r>
      <w:r>
        <w:rPr>
          <w:rFonts w:ascii="Consolas"/>
          <w:b w:val="false"/>
          <w:i w:val="false"/>
          <w:color w:val="000000"/>
          <w:sz w:val="20"/>
        </w:rPr>
        <w:t>амбулаторных карт</w:t>
      </w:r>
      <w:r>
        <w:rPr>
          <w:rFonts w:ascii="Consolas"/>
          <w:b w:val="false"/>
          <w:i w:val="false"/>
          <w:color w:val="000000"/>
          <w:sz w:val="20"/>
        </w:rPr>
        <w:t xml:space="preserve"> лиц, подлежащих иммунизации против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 также все случаи: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материнской смертности;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смерти на дому детей от 0 до 5 лет включительно;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смерти на дому лиц трудоспособного возраста от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внутрибольничных инфекций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несвоевременной вакцинации или отсутствия вакцинации против инфекционных заболеваний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запущенных форм онкологических заболеваний и туберкулеза;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первичного выхода на инвалидность лиц трудоспособного возраста;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организациях скорой медицинской помощи экспертиза не менее 20 % обслуженных вызовов за квартал, а также все случаи: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повторных вызовов к одному и тому же пациенту по тому же заболеванию в течение суток с момента первого вызова;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летальности при вызовах: смерть до прибытия бригады, смерть в присутствии бригады;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расхождения диагнозов бригады скорой помощи и стационара в случае госпитализации больных;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в организациях </w:t>
      </w:r>
      <w:r>
        <w:rPr>
          <w:rFonts w:ascii="Consolas"/>
          <w:b w:val="false"/>
          <w:i w:val="false"/>
          <w:color w:val="000000"/>
          <w:sz w:val="20"/>
        </w:rPr>
        <w:t>восстановительного лечения</w:t>
      </w:r>
      <w:r>
        <w:rPr>
          <w:rFonts w:ascii="Consolas"/>
          <w:b w:val="false"/>
          <w:i w:val="false"/>
          <w:color w:val="000000"/>
          <w:sz w:val="20"/>
        </w:rPr>
        <w:t xml:space="preserve"> и медицинской реабилитации – все случаи: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летальных исходов;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госпитализации в больничные организации;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удлинения или укорочения сроков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травматизма;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внутрибольничных инфекций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организациях по оказанию паллиативной помощи и сестринского ухода – все случаи: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летальных исходов;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внутрибольничных инфекций;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больничного травматизма;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в организациях, осуществляющих деятельность в сфере службы крови, проводится экспертиза не менее 20 % медицинских карт доноров в квартал, а также проводится контроль соблюдения 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заготовки, переработки, хранения, реализации, переливания крови и ее компонентов, утвержденных приказом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препаратов", зарегистрированным в Реестре государственной регистрации нормативных правовых актов за № 5925;</w:t>
      </w:r>
    </w:p>
    <w:bookmarkStart w:name="z44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Службой ежемесячно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Внутренняя экспертиза качества медицинских услуг осуществляется также на уровне:</w:t>
      </w:r>
    </w:p>
    <w:bookmarkEnd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каждого медицинского работника (самоконтроль);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уровне структурного подразделения;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уровне заместителя руководителя по лечебно-профилактической работе;</w:t>
      </w:r>
    </w:p>
    <w:bookmarkStart w:name="z46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Внутренняя экспертиза на уровне самоконтроля осуществляется каждым врачом, каждой медицинской сестрой отделения по всем пролеченным случаям.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Самоконтроль выражается в четком знании и выполнении медицинскими работниками своих функциональных обязанностей, </w:t>
      </w:r>
      <w:r>
        <w:rPr>
          <w:rFonts w:ascii="Consolas"/>
          <w:b w:val="false"/>
          <w:i w:val="false"/>
          <w:color w:val="000000"/>
          <w:sz w:val="20"/>
        </w:rPr>
        <w:t>Стандартов</w:t>
      </w:r>
      <w:r>
        <w:rPr>
          <w:rFonts w:ascii="Consolas"/>
          <w:b w:val="false"/>
          <w:i w:val="false"/>
          <w:color w:val="000000"/>
          <w:sz w:val="20"/>
        </w:rPr>
        <w:t>, направлен на выявление и устранение отклонений в процессе оказания медицинской услуги.</w:t>
      </w:r>
    </w:p>
    <w:bookmarkStart w:name="z47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Внутренняя экспертиза на уровне структурного подразделения проводится заведующим отделением по всем пролеченным случаям.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На уровне заместителя руководителя по лечебной работе внутренняя экспертиза проводится с охватом не менее 25 % пролеченных случаев в месяц.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В рамках внутренней экспертизы медицинских услуг осуществляется оценка качества работы средних медицинских работников, которая включает: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оценку качества работы старших медицинских сестер структурных подразделений;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оценку качества работы средних медицинских работников структурных подразделений.</w:t>
      </w:r>
    </w:p>
    <w:bookmarkStart w:name="z50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Оценка работы старших медицинских сестер проводится по следующим направлениям: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организация работы по кадровому планированию, рациональной расстановке и использованию средних и младших медицинских работников;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организационные мероприятия по повышению квалификации, переподготовке, оценке квалификации и удельному весу категорийности средних медицинских работников;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осуществление контроля за </w:t>
      </w:r>
      <w:r>
        <w:rPr>
          <w:rFonts w:ascii="Consolas"/>
          <w:b w:val="false"/>
          <w:i w:val="false"/>
          <w:color w:val="000000"/>
          <w:sz w:val="20"/>
        </w:rPr>
        <w:t>противоэпидемическими мероприятиями</w:t>
      </w:r>
      <w:r>
        <w:rPr>
          <w:rFonts w:ascii="Consolas"/>
          <w:b w:val="false"/>
          <w:i w:val="false"/>
          <w:color w:val="000000"/>
          <w:sz w:val="20"/>
        </w:rPr>
        <w:t xml:space="preserve"> в отделении;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организация выполнения манипуляций и cтандартов операционных процедур средним медицинским персоналом;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контроль за соблюдением 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хранения и транспортировки лекарственных средств, изделий медицинского назначения, утвержденных приказом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средств, изделий медицинского назначения и медицинской техники", зарегистрированным в Реестре государственной регистрации нормативных правовых актов за № 11191 (далее – Приказ № 262).</w:t>
      </w:r>
    </w:p>
    <w:bookmarkStart w:name="z51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Оценка работы средних медицинских работников на уровне структурного подразделения осуществляется старшей медицинской сестрой.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Оценка качества работы средних медицинских работников структурных подразделений включает: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полноту и своевременность заполнения медицинской документации;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полноту, своевременность и качество выполнения врачебных назначений;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знания и навыки выполнения стандартов операционных процедур;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умение коммуникативного общения с пациентами и коллегами;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отсутствие осложнений в результате сестринских манипуляций;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6) знание и соблюдение 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хранения и транспортировки лекарственных средств, изделий медицинского назначения, утвержденных Приказом № 262;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7) знание и соблюдение режима дезинфекции и стерилизации изделий медицинского назначения, правил и сроков хранения стерильного материала в соответствии с </w:t>
      </w:r>
      <w:r>
        <w:rPr>
          <w:rFonts w:ascii="Consolas"/>
          <w:b w:val="false"/>
          <w:i w:val="false"/>
          <w:color w:val="000000"/>
          <w:sz w:val="20"/>
        </w:rPr>
        <w:t>санитарными 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"Санитарно-эпидемиологические требования к организации и проведению дезинфекции, дезинсекции и дератизации", утвержденными приказом Министра национальной экономики Республики Казахстан от 27 января 2015 года № 48, зарегистрированным в Реестре государственной регистрации нормативных правовых актов за № 10388;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знание и соблюдение требований сбора, временного хранения, обеззараживания, утилизации медицинских отходов в соответствии с  санитарными правилами "Санитарно-эпидемиологические требования к объектам здравоохранения", утвержденными приказом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за № 10713;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оценку качества общего ухода за пациентами (отсутствие опрелостей, пролежней);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умение оказания неотложной доврачебной медицинской помощи;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анализ обращений (жалоб) пациентов на средний медицинский персонал.</w:t>
      </w:r>
    </w:p>
    <w:bookmarkStart w:name="z53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Главной медицинской сестрой организации здравоохранения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Службой с медицинскими работниками, допустившими дефекты при оказании медицинских услуг (лечебных, диагностических), в оформлении медицинской документации, ошибки при выборе медицинской услуги или технологии оказания медицинской услуги, проводится разъяснитеьная работа по причинам возникновения и путях устранения дефектов.</w:t>
      </w:r>
    </w:p>
    <w:bookmarkEnd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медицинского оборудования) выносятся на рассмотрение руководства.</w:t>
      </w:r>
    </w:p>
    <w:bookmarkStart w:name="z55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По результатам внутренней экспертизы составляется заключение и анализируется Службой. По итогам проведенной экспертизы оценивается деятельность врачей, среднего медицинского персонала, структурных подразделений и организации здравоохранения в целом. Для принятия управленческих решений определяются: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общее количество выявленных нарушений, структура, возможные причины и пути устранения;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количество выявленных нарушений, повлекших ухудшение состояния здоровья;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количество выявленных отклонений, приведших к увеличению затрат на оказание медицинской помощи.</w:t>
      </w:r>
    </w:p>
    <w:bookmarkStart w:name="z56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Результаты внутренней экспертизы рассматриваются на заседании Службы, выносятся и разбираются на заседаниях внутрибольничных комиссий, на врачебных конференциях.</w:t>
      </w:r>
    </w:p>
    <w:bookmarkEnd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по специальности, имеющие первую и высшую квалификационные категории.</w:t>
      </w:r>
    </w:p>
    <w:bookmarkStart w:name="z57" w:id="5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Организация и порядок проведения внешней экспертизы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29. Внешняя экспертиза осуществляется специалистами ККМФД и его территориальных департаментов и (или) независимыми экспертами.</w:t>
      </w:r>
    </w:p>
    <w:bookmarkEnd w:id="56"/>
    <w:bookmarkStart w:name="z59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30. ККМФД и его территориальными департаментами внешняя экспертиза осуществляется также с </w:t>
      </w:r>
      <w:r>
        <w:rPr>
          <w:rFonts w:ascii="Consolas"/>
          <w:b w:val="false"/>
          <w:i w:val="false"/>
          <w:color w:val="000000"/>
          <w:sz w:val="20"/>
        </w:rPr>
        <w:t>привлечением</w:t>
      </w:r>
      <w:r>
        <w:rPr>
          <w:rFonts w:ascii="Consolas"/>
          <w:b w:val="false"/>
          <w:i w:val="false"/>
          <w:color w:val="000000"/>
          <w:sz w:val="20"/>
        </w:rPr>
        <w:t xml:space="preserve"> независимых экспертов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58 Кодекса.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Внешней экспертизе специалистами ККМФД и его территориальных департаментов подлежат:</w:t>
      </w:r>
    </w:p>
    <w:bookmarkEnd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 организациях, оказывающих стационарную помощь: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100 % случаев: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 общего числа зарегистрированных случаев летальных исходов;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 общего числа зарегистрированных случаев внутрибольничных инфекций;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менее 50 % случаев: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осложнений, в том числе послеоперационных;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 менее 10 % </w:t>
      </w:r>
      <w:r>
        <w:rPr>
          <w:rFonts w:ascii="Consolas"/>
          <w:b w:val="false"/>
          <w:i w:val="false"/>
          <w:color w:val="000000"/>
          <w:sz w:val="20"/>
        </w:rPr>
        <w:t>медицинских карт</w:t>
      </w:r>
      <w:r>
        <w:rPr>
          <w:rFonts w:ascii="Consolas"/>
          <w:b w:val="false"/>
          <w:i w:val="false"/>
          <w:color w:val="000000"/>
          <w:sz w:val="20"/>
        </w:rPr>
        <w:t xml:space="preserve"> стационарного больного по каждому отделению стационара от числа пролеченных больных;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организациях, оказывающих амбулаторно-поликлиническую помощь: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100 % случаев: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 общего числа зарегистрированных случаев материнской смертности (за исключением несчастных случаев);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 общего числа зарегистрированных случаев внутрибольничных инфекций;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смерти на дому детей от 0 до 5 лет включительно (за исключением несчастных случаев);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смерти на дому лиц трудоспособного возраста;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запущенных форм онкологических заболеваний и туберкулеза;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менее 50 % случаев от общего числа зарегистрированных случаев: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осложнений беременности (гестозов тяжелой степени, родов, осложнившихся акушерскими кровотечениями, гистерэктомиями);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первичного выхода на инвалидность лиц трудоспособного возраста; наблюдений за пациентами после выписки из стационара с болезнями системы кровообращения (после инфарктов, инсультов), онкологическими заболеваниями;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несвоевременной вакцинации или отсутствия профилактических прививок против заболеваний у детей до 5 лет, утвержденных </w:t>
      </w:r>
      <w:r>
        <w:rPr>
          <w:rFonts w:ascii="Consolas"/>
          <w:b w:val="false"/>
          <w:i w:val="false"/>
          <w:color w:val="000000"/>
          <w:sz w:val="20"/>
        </w:rPr>
        <w:t>Постановлением № 2295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менее 10 медицинских карт амбулаторных больных с каждого отделения и (или) профиля специалистов;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не менее 10 % </w:t>
      </w:r>
      <w:r>
        <w:rPr>
          <w:rFonts w:ascii="Consolas"/>
          <w:b w:val="false"/>
          <w:i w:val="false"/>
          <w:color w:val="000000"/>
          <w:sz w:val="20"/>
        </w:rPr>
        <w:t>медицинских карт</w:t>
      </w:r>
      <w:r>
        <w:rPr>
          <w:rFonts w:ascii="Consolas"/>
          <w:b w:val="false"/>
          <w:i w:val="false"/>
          <w:color w:val="000000"/>
          <w:sz w:val="20"/>
        </w:rPr>
        <w:t xml:space="preserve"> (</w:t>
      </w:r>
      <w:r>
        <w:rPr>
          <w:rFonts w:ascii="Consolas"/>
          <w:b w:val="false"/>
          <w:i w:val="false"/>
          <w:color w:val="000000"/>
          <w:sz w:val="20"/>
        </w:rPr>
        <w:t>историй развития ребенка</w:t>
      </w:r>
      <w:r>
        <w:rPr>
          <w:rFonts w:ascii="Consolas"/>
          <w:b w:val="false"/>
          <w:i w:val="false"/>
          <w:color w:val="000000"/>
          <w:sz w:val="20"/>
        </w:rPr>
        <w:t>) детей до 5 лет, подлежащих иммунизации против инфекционных заболеваний;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организациях, осуществляющих деятельность в сфере службы крови не менее 50 медицинских карт доноров, сдавших кровь на платной и бесплатной основе;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организациях скорой медицинской помощи: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менее 50 % случаев от общего числа зарегистрированных случаев: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повторных вызовов по тому же заболеванию в течение суток;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летальности при вызовах (смерть до прибытия бригады, смерть в присутствии бригады);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расхождения диагнозов бригады скорой помощи и стационара в случае госпитализации больных;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не менее 10 медицинских карт выездов общепрофильных и специализированных бригад.</w:t>
      </w:r>
    </w:p>
    <w:bookmarkStart w:name="z61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По итогам внешней экспертизы анализируются:</w:t>
      </w:r>
    </w:p>
    <w:bookmarkEnd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результаты внутренней экспертизы на предмет соблюдения принципов экспертизы;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адекватности и эффективности мер, принятых Службой;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соответствия пороговых значений в динамике внешних индикаторов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приложением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bookmarkStart w:name="z62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По результатам внешней экспертизы составляется заключение в двух экземплярах, один экземпляр заключения вручается руководителю субъекта здравоохранения или лицу его замещающему, в случае отсутствия руководителя.</w:t>
      </w:r>
    </w:p>
    <w:bookmarkEnd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 каждый случай смерти (летального исхода) прилагается экспертное заключение независимого эксперта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Замечания и (или) возражения по результатам внешней экспертизы излагаются в письменном виде и прилагаются к заключению.</w:t>
      </w:r>
    </w:p>
    <w:bookmarkStart w:name="z63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По результатам внешней экспертизы качества медицинских услуг руководитель организации здравоохранения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35 вводится в действие с 01.01.2017 в соответствии с приказом Министра здравоохранения и социального развития РК от 28.06.2016 </w:t>
      </w:r>
      <w:r>
        <w:rPr>
          <w:rFonts w:ascii="Consolas"/>
          <w:b w:val="false"/>
          <w:i w:val="false"/>
          <w:color w:val="ff0000"/>
          <w:sz w:val="20"/>
        </w:rPr>
        <w:t>№ 568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35. Независимыми экспертами внешняя экспертиза проводится при </w:t>
      </w:r>
      <w:r>
        <w:rPr>
          <w:rFonts w:ascii="Consolas"/>
          <w:b w:val="false"/>
          <w:i w:val="false"/>
          <w:color w:val="000000"/>
          <w:sz w:val="20"/>
        </w:rPr>
        <w:t>привлечении</w:t>
      </w:r>
      <w:r>
        <w:rPr>
          <w:rFonts w:ascii="Consolas"/>
          <w:b w:val="false"/>
          <w:i w:val="false"/>
          <w:color w:val="000000"/>
          <w:sz w:val="20"/>
        </w:rPr>
        <w:t xml:space="preserve"> их физическими или юридическими лицами в случаях несогласия с выводами внутренней и внешней экспертизы, а также субъектами здравоохранения для проведения независимой экспертизы на договорной основе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Гражданским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Внутренние индикаторы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2620"/>
        <w:gridCol w:w="490"/>
        <w:gridCol w:w="6403"/>
        <w:gridCol w:w="2372"/>
      </w:tblGrid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с летальными исходами при плановой госпитализации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карта стационарного больного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Послеоперационная летальность в случаях плановой госпитализации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интраоперационных осложнений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журнал записи оперативных вмешательств в стационаре (форма 008/у,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послеоперационных осложнений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журнал записи оперативных вмешательств в стационаре (форма 008/у,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случаев материнской смертности за отчетный период из них от: акушерских кровотечений; гестозов; абортов; экстрагенитальной патологии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Данные мониторинга беременных, родильниц медицинской организации, карта учета материнской смертности (форма 2009-1/у,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родового травматизма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096/у), журнал записи оперативных вмешательств в стационаре (форма 008/у,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экстренных кесаревых сечений из общего числа кесаревых сечений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096/у), журнал записи оперативных вмешательств в стационаре (форма 008/у,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беременных женщин, поступивших в стационар в течение суток после отказа в госпитализации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приема больных и отказов в госпитализации (форма № 001/у,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Полнота выявления экстрагенитальной патологии при поступлении в стационар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случаев детской смертности (от 0 до 5 лет) за отчетный период из них от: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заболеваний органов дыхания;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кишечных инфекций;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врожденных пороков развития;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болезней перинатального периода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история развития новорожденного (форма 097/у,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),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травматизма новорожденных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история развития новорожденного (форма 097/у,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Значение индикатора стремится к нулю 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интранатальной гибели плода на 100 родившихся живыми и мертвыми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соблюдения тепловой цепочки (мониторинг температурного режима)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история развития новорожденного (форма 097/у,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превышает 0,5 %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 на 1000 родившихся живыми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гнойно-септических процессов после оперативных вмешательств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гнойно-септических процессов у новорожденных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развития новорожденного (форма 097/у,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Случаи расхождения клинического и патологоанатомического диагнозов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Протокол патологоанатомического исследования (форма 013/у,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обоснованных обращений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общей смертности, в том числе трудоспособного возраста среди прикрепленного населения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Данные областного статистического управления (с указанием домашнего адреса)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первичного выхода на инвалидность лиц трудоспособного возраста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Данные территориального Департамента Комитета труда, социальной защиты и миграции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материнской смертности, с дефектами оказания медицинских услуг на уровне организаций первичной медико-санитарной помощи (далее – ПМСП)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 учета материнской смертности (форма 2009-1/у,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 (результаты внешней экспертизы 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оздоровленных женщин с экстрагенитальной патологией среди женщин фертильного возраста из числа прикрепленного населения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Статистическая карта амбулаторного пациента (форма 025-05/у,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Контрольная карта диспансерного наблюдения (форма 030/у,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Охват контрацепцией женщин с абсолютными противопоказаниями к вынашиванию беременности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Случаи беременности женщин фертильного возраста с экстрагенитальной патологией, которым абсолютно противопоказана беременность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 Программное обеспечение "Регистр беременных"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абортов по отношению к родам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беременных женщин госпитализированных с нарушением принципа регионализации (по данным круглосуточного стационара)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 (диагноз по международной классификации болезней с с указанием родоразрешения) Программное обеспечение "Регистр беременных"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Детская смертность до 5 лет, с дефектами оказания медицинских услуг на уровне ПМСП 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обученных медицинских работников (врачей, средних медицинских работников) ПМСП* по программе интегрированного ведения болезней детского возраста (далее ИВБДВ)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 отдела кадров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не менее 70 %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умерших детей в возрасте от 7 дней до 5 лет на дому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Автоматизированная информационная система (далее –АИС) "Млад", данные областного статистического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 АИС "Стационар"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экстренной госпитализации детей до 5 лет с острой кишечной инфекцией (далее -ОКИ), острой респираторной инфекции (далее – ОРИ)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Данные "Мединформ"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из числа родителей детей до 5 лет, обученных признакам опасности в соответствии с принципами ИВБДВ*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Журнал кабинета здорового ребенка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Случаи врожденных пороков развития (далее – ВПР) у новорожденных, недиагностированных внутриутробно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индивидуальная карта беременной, роженицы, родильницы (форма 111/у,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детей в возрасте 6 месяцев, получающих исключительно грудное вскармливание,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детей, получающих грудное вскармливание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запущенных случаев среди впервые выявленных больных с туберкулезом легких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Программный комплекс "Регистр больных туберкулезом"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Охват обязательного контингента флюорографическим обследованием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регистрации флюорографических обследований, карта профилактических флюорографических обследований (форма 052/у,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составляет не менее 60 %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регистрации микроскопических обследований, отчетные формы, лабораторный регистрационный журнал (форма ТБ 04/у,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направление на микроскопическое исследование мокроты на микобактерии туберкулеза (форма ТБ 05/у,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составляет не менее 70 %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больных туберкулезом, прервавших терапию на уровне ПМСП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числа впервые выявленных больных злокачественными новообразованиями 3-4 стадии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числа впервые выявленных больных злокачественными новообразованиями 1-2 стадии за отчетный период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обоснованных жалоб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артериальная гипертензия;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инфаркт миокарда;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инсульт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Журнал учета профилактических прививок, форма 064/у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Внешние индикаторы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1686"/>
        <w:gridCol w:w="2904"/>
        <w:gridCol w:w="285"/>
        <w:gridCol w:w="4609"/>
        <w:gridCol w:w="2373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индикаторов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Источник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Пороговое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летальности при плановой госпитализации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умерших в стационаре от общего числа пациентов, поступивших в плановом порядке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Послеоперационная летальность в случаях плановой госпитализации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случаев материнской смертности за отчетный период из них от: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акушерских кровотечений;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гестозов;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абортов;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экстрагенитальной патологии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Данные мониторинга беременных, родильниц медицинской организации, карта учета материнской смертности (форма 2009-1/у,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поддаюмщися управлению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случаев детской смертности за отчетный период из них от: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заболеваний органов дыхания;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кишечных инфекций;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врожденных пороков развития;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причин перинатального периода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повторных госпитализаций от числа госпитализированных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 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Случаи расхождения клинического и патологоанатомического диагнозов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случаев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Протокол патологоанатомического исследования (форма 013/у,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Количество обоснованных жалоб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эпидемиологи ческого расследования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общей смертности, в том числе трудоспособного возраста, среди прикрепленного населения за 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Абсолютное число и расчетный показатель на 1000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Данные областного статистического управления с указанием домашнего адреса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случаев материнской смертности,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 учета материнской смертности (форма 2009-1/у,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 (результаты внешней экспертизы 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Детская смертность до 5 лет,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умерших детей в возрасте от 0 до 5 лет, предотвратимых на уровне ПМСП на количество детей в возрасте от 0 до 5 лет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Случаи беременности женщин фертильного возраста (далее – ЖФВ) с экстрагенитальной патологией, которым абсолютно противопоказана беременность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случаев госпитализированных беременных ЖФВ с экстрагенитальной патологией, которым абсолютно противопоказана беременность, среди прикрепленных жителей на общее количество госпитализированных беременных среди прикрепленных жителей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 Программное обеспечение "Регистр беременных"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запущенных случаев среди впервые выявленных больных с туберкулезом легких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Программный комплекс "Регистр больных туберкулезом"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впервые выявленных случаев с диагнозом злокачественного новообразования визуальной локализации 3-4 стадии среди прикрепленного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впервые выявленных случаев с диагнозом злокачественного новообразования визуальной локализации 3-4 стадии среди прикрепленного населения на количество всех впервые выявленных случаев с диагнозом злокачественного новообразования визуальной локализации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Программный комплекс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"Регистр онкологических больных"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на 100 тыс.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инсульт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инсульт 100 на 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инсульт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Отчетная форма № 4, утвержденная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415, Журнал учета профилактических прививок, форма 064/у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Экспертное заключение независимого эксперта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Фамилия, имя, отчество (при его наличии) независимого эксперта, с указанием специальности, должности, квалификационной категории, ученой степени, № свидетельства об аккредитации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Наименование субъекта (объекта) здравоохранения, в котором проводилась экспертиза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Основание проведения экспертизы, либо сведения о заказчике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проведения экспертизы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Период проведения экспертизы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Предмет экспертизы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Сведения о результатах экспертизы, в том числе о выявленных нарушениях, об их характере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Выводы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Рекомендации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 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Фамилия, имя, отчество (при его наличии),  подпись лица, проводившего лица, проводившего экспертизу              экспертизу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 "____"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